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179D13DB"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460B76">
        <w:rPr>
          <w:rFonts w:asciiTheme="minorHAnsi" w:hAnsiTheme="minorHAnsi" w:cstheme="minorHAnsi"/>
          <w:b/>
          <w:bCs/>
          <w:color w:val="FD4FB4"/>
          <w:sz w:val="36"/>
          <w:szCs w:val="36"/>
          <w:lang w:val="en-GB"/>
        </w:rPr>
        <w:t xml:space="preserve">Primer </w:t>
      </w:r>
      <w:r w:rsidR="00605109">
        <w:rPr>
          <w:rFonts w:asciiTheme="minorHAnsi" w:hAnsiTheme="minorHAnsi" w:cstheme="minorHAnsi"/>
          <w:b/>
          <w:bCs/>
          <w:color w:val="FD4FB4"/>
          <w:sz w:val="36"/>
          <w:szCs w:val="36"/>
          <w:lang w:val="en-GB"/>
        </w:rPr>
        <w:t>najbolje</w:t>
      </w:r>
      <w:r w:rsidR="00460B76">
        <w:rPr>
          <w:rFonts w:asciiTheme="minorHAnsi" w:hAnsiTheme="minorHAnsi" w:cstheme="minorHAnsi"/>
          <w:b/>
          <w:bCs/>
          <w:color w:val="FD4FB4"/>
          <w:sz w:val="36"/>
          <w:szCs w:val="36"/>
          <w:lang w:val="en-GB"/>
        </w:rPr>
        <w:t xml:space="preserve"> prakse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0C1F1B">
        <w:trPr>
          <w:trHeight w:val="557"/>
        </w:trPr>
        <w:tc>
          <w:tcPr>
            <w:tcW w:w="2687" w:type="dxa"/>
            <w:shd w:val="clear" w:color="auto" w:fill="AB7ADC"/>
            <w:vAlign w:val="center"/>
          </w:tcPr>
          <w:p w14:paraId="438D67E8" w14:textId="1E84D054" w:rsidR="00F30B77" w:rsidRPr="00F30B77" w:rsidRDefault="00460B76"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dobre prakse</w:t>
            </w:r>
          </w:p>
        </w:tc>
        <w:tc>
          <w:tcPr>
            <w:tcW w:w="6567" w:type="dxa"/>
            <w:shd w:val="clear" w:color="auto" w:fill="FFFFFF" w:themeFill="background1"/>
            <w:vAlign w:val="center"/>
          </w:tcPr>
          <w:p w14:paraId="0DC823BA" w14:textId="02812400" w:rsidR="00F30B77" w:rsidRPr="00D65D0A" w:rsidRDefault="00587455" w:rsidP="00587455">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 xml:space="preserve">OLIO - </w:t>
            </w:r>
            <w:r w:rsidR="00460B76">
              <w:t xml:space="preserve"> </w:t>
            </w:r>
            <w:r w:rsidR="00460B76" w:rsidRPr="00460B76">
              <w:rPr>
                <w:rFonts w:asciiTheme="minorHAnsi" w:hAnsiTheme="minorHAnsi" w:cstheme="minorHAnsi"/>
                <w:b/>
                <w:bCs/>
                <w:sz w:val="24"/>
                <w:szCs w:val="24"/>
              </w:rPr>
              <w:t>Ženska a</w:t>
            </w:r>
            <w:r w:rsidR="00460B76" w:rsidRPr="00460B76">
              <w:rPr>
                <w:rFonts w:asciiTheme="minorHAnsi" w:hAnsiTheme="minorHAnsi" w:cstheme="minorHAnsi"/>
                <w:b/>
                <w:bCs/>
                <w:color w:val="000000" w:themeColor="text1"/>
                <w:sz w:val="24"/>
                <w:szCs w:val="24"/>
                <w:lang w:val="en-US"/>
              </w:rPr>
              <w:t>plikacija za deljenje hrane</w:t>
            </w:r>
          </w:p>
        </w:tc>
      </w:tr>
      <w:tr w:rsidR="00F30B77" w:rsidRPr="00F30B77" w14:paraId="20BA7E90" w14:textId="77777777" w:rsidTr="00C81D81">
        <w:trPr>
          <w:trHeight w:val="560"/>
        </w:trPr>
        <w:tc>
          <w:tcPr>
            <w:tcW w:w="2687" w:type="dxa"/>
            <w:shd w:val="clear" w:color="auto" w:fill="AB7ADC"/>
            <w:vAlign w:val="center"/>
          </w:tcPr>
          <w:p w14:paraId="30E0314A" w14:textId="4880DC16" w:rsidR="00F30B77" w:rsidRPr="00F30B77" w:rsidRDefault="00F61C6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p>
        </w:tc>
        <w:tc>
          <w:tcPr>
            <w:tcW w:w="6567" w:type="dxa"/>
            <w:shd w:val="clear" w:color="auto" w:fill="FFFFFF" w:themeFill="background1"/>
            <w:vAlign w:val="center"/>
          </w:tcPr>
          <w:p w14:paraId="7232C4F2" w14:textId="3BECA112" w:rsidR="00F30B77" w:rsidRPr="00D65D0A" w:rsidRDefault="00605109" w:rsidP="00C81D81">
            <w:pPr>
              <w:rPr>
                <w:rFonts w:asciiTheme="minorHAnsi" w:hAnsiTheme="minorHAnsi" w:cstheme="minorHAnsi"/>
                <w:color w:val="000000" w:themeColor="text1"/>
                <w:sz w:val="24"/>
                <w:szCs w:val="24"/>
                <w:lang w:val="en-GB"/>
              </w:rPr>
            </w:pPr>
            <w:r w:rsidRPr="00605109">
              <w:rPr>
                <w:rFonts w:asciiTheme="minorHAnsi" w:hAnsiTheme="minorHAnsi" w:cstheme="minorHAnsi"/>
                <w:color w:val="000000" w:themeColor="text1"/>
                <w:sz w:val="24"/>
                <w:szCs w:val="24"/>
                <w:lang w:val="en-GB"/>
              </w:rPr>
              <w:t>Ekonomija deljenja, Deljenje hrane, Aplikacija, Karbon Negativno poslovanje</w:t>
            </w:r>
          </w:p>
        </w:tc>
      </w:tr>
      <w:tr w:rsidR="00F30B77" w:rsidRPr="00F30B77" w14:paraId="7EF91B33" w14:textId="77777777" w:rsidTr="00C81D81">
        <w:trPr>
          <w:trHeight w:val="554"/>
        </w:trPr>
        <w:tc>
          <w:tcPr>
            <w:tcW w:w="2687" w:type="dxa"/>
            <w:shd w:val="clear" w:color="auto" w:fill="AB7ADC"/>
            <w:vAlign w:val="center"/>
          </w:tcPr>
          <w:p w14:paraId="2D961D86" w14:textId="37CF19A8" w:rsidR="00F30B77" w:rsidRPr="00F30B77" w:rsidRDefault="00F61C6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43042329" w:rsidR="00F30B77" w:rsidRPr="00D65D0A" w:rsidRDefault="0058745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IDP</w:t>
            </w:r>
          </w:p>
        </w:tc>
      </w:tr>
      <w:tr w:rsidR="00F30B77" w:rsidRPr="00F30B77" w14:paraId="1A8A29FB" w14:textId="77777777" w:rsidTr="00C81D81">
        <w:trPr>
          <w:trHeight w:val="562"/>
        </w:trPr>
        <w:tc>
          <w:tcPr>
            <w:tcW w:w="2687" w:type="dxa"/>
            <w:shd w:val="clear" w:color="auto" w:fill="AB7ADC"/>
            <w:vAlign w:val="center"/>
          </w:tcPr>
          <w:p w14:paraId="359561F9" w14:textId="5399C1D7" w:rsidR="00F30B77" w:rsidRPr="00F30B77" w:rsidRDefault="00F61C6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26F8315B" w14:textId="03125281" w:rsidR="00F30B77" w:rsidRPr="00D65D0A" w:rsidRDefault="00605109"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Srpski</w:t>
            </w:r>
          </w:p>
        </w:tc>
      </w:tr>
      <w:tr w:rsidR="00F30B77" w:rsidRPr="00F30B77" w14:paraId="1830E6B7" w14:textId="77777777" w:rsidTr="00D65D0A">
        <w:trPr>
          <w:trHeight w:val="264"/>
        </w:trPr>
        <w:tc>
          <w:tcPr>
            <w:tcW w:w="9254" w:type="dxa"/>
            <w:gridSpan w:val="2"/>
            <w:shd w:val="clear" w:color="auto" w:fill="AB7ADC"/>
            <w:vAlign w:val="center"/>
          </w:tcPr>
          <w:p w14:paraId="64652B09" w14:textId="6BC996FB" w:rsidR="00F30B77" w:rsidRPr="00D65D0A" w:rsidRDefault="00605109"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Najbolja praksa</w:t>
            </w:r>
          </w:p>
        </w:tc>
      </w:tr>
      <w:tr w:rsidR="00F30B77" w:rsidRPr="00F30B77" w14:paraId="0FF4D4CD" w14:textId="77777777" w:rsidTr="000C1F1B">
        <w:trPr>
          <w:trHeight w:val="7482"/>
        </w:trPr>
        <w:tc>
          <w:tcPr>
            <w:tcW w:w="9254" w:type="dxa"/>
            <w:gridSpan w:val="2"/>
            <w:shd w:val="clear" w:color="auto" w:fill="auto"/>
            <w:vAlign w:val="center"/>
          </w:tcPr>
          <w:p w14:paraId="0F4CFF28"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r w:rsidRPr="00605109">
              <w:rPr>
                <w:rFonts w:asciiTheme="minorHAnsi" w:hAnsiTheme="minorHAnsi" w:cstheme="minorHAnsi"/>
                <w:color w:val="000000" w:themeColor="text1"/>
                <w:lang w:val="en-GB"/>
              </w:rPr>
              <w:t>Tesa Klark i Saša Celestial-One su 2015. godine pokrenule OLIO, aplikaciju za deljenje koja povezuje susede međusobno i sa lokalnim preduzećima kako bi delili višak hrane umesto da je bacaju.</w:t>
            </w:r>
          </w:p>
          <w:p w14:paraId="17E55024"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p>
          <w:p w14:paraId="534027CE"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r w:rsidRPr="00605109">
              <w:rPr>
                <w:rFonts w:asciiTheme="minorHAnsi" w:hAnsiTheme="minorHAnsi" w:cstheme="minorHAnsi"/>
                <w:color w:val="000000" w:themeColor="text1"/>
                <w:lang w:val="en-GB"/>
              </w:rPr>
              <w:t>Ideja je došla kada je Tesa pakovala svoj stan u Švajcarskoj da se vrati u Veliku Britaniju. Ostalo je nešto hrane i zamolili su je da je baci. Nije mogla da pronađe alternativu i onda je pomislila: „Zašto ne postoji aplikacija u kojoj mogu da je podelim sa nekim u blizini ko to želi?“</w:t>
            </w:r>
          </w:p>
          <w:p w14:paraId="5F43E28D"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p>
          <w:p w14:paraId="4A571776" w14:textId="6427F8A1" w:rsidR="00605109" w:rsidRPr="00605109" w:rsidRDefault="00605109" w:rsidP="00605109">
            <w:pPr>
              <w:widowControl/>
              <w:autoSpaceDE/>
              <w:autoSpaceDN/>
              <w:jc w:val="both"/>
              <w:rPr>
                <w:rFonts w:asciiTheme="minorHAnsi" w:hAnsiTheme="minorHAnsi" w:cstheme="minorHAnsi"/>
                <w:color w:val="000000" w:themeColor="text1"/>
                <w:lang w:val="en-GB"/>
              </w:rPr>
            </w:pPr>
            <w:r w:rsidRPr="00605109">
              <w:rPr>
                <w:rFonts w:asciiTheme="minorHAnsi" w:hAnsiTheme="minorHAnsi" w:cstheme="minorHAnsi"/>
                <w:color w:val="000000" w:themeColor="text1"/>
                <w:lang w:val="en-GB"/>
              </w:rPr>
              <w:t xml:space="preserve">Zajedno sa Sašom, Tesa je sprovela </w:t>
            </w:r>
            <w:r>
              <w:rPr>
                <w:rFonts w:asciiTheme="minorHAnsi" w:hAnsiTheme="minorHAnsi" w:cstheme="minorHAnsi"/>
                <w:color w:val="000000" w:themeColor="text1"/>
                <w:lang w:val="en-GB"/>
              </w:rPr>
              <w:t>desk</w:t>
            </w:r>
            <w:r w:rsidRPr="00605109">
              <w:rPr>
                <w:rFonts w:asciiTheme="minorHAnsi" w:hAnsiTheme="minorHAnsi" w:cstheme="minorHAnsi"/>
                <w:color w:val="000000" w:themeColor="text1"/>
                <w:lang w:val="en-GB"/>
              </w:rPr>
              <w:t xml:space="preserve"> istraživanje kako bi bolje razumela problem bacanja hrane i otkrila je da je 1 od 3 osobe „fizički bolan“ kada bacaju dobru hranu čak i ako nemaju alternativu.</w:t>
            </w:r>
          </w:p>
          <w:p w14:paraId="0A2BD459"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p>
          <w:p w14:paraId="4E7E22F0" w14:textId="29A4DA73" w:rsidR="00605109" w:rsidRPr="00605109" w:rsidRDefault="00605109" w:rsidP="00605109">
            <w:pPr>
              <w:widowControl/>
              <w:autoSpaceDE/>
              <w:autoSpaceDN/>
              <w:jc w:val="both"/>
              <w:rPr>
                <w:rFonts w:asciiTheme="minorHAnsi" w:hAnsiTheme="minorHAnsi" w:cstheme="minorHAnsi"/>
                <w:color w:val="000000" w:themeColor="text1"/>
                <w:lang w:val="en-GB"/>
              </w:rPr>
            </w:pPr>
            <w:r w:rsidRPr="00605109">
              <w:rPr>
                <w:rFonts w:asciiTheme="minorHAnsi" w:hAnsiTheme="minorHAnsi" w:cstheme="minorHAnsi"/>
                <w:color w:val="000000" w:themeColor="text1"/>
                <w:lang w:val="en-GB"/>
              </w:rPr>
              <w:t xml:space="preserve">Oni su potvrdili svoju ideju okupljanja ljudi u </w:t>
            </w:r>
            <w:r>
              <w:rPr>
                <w:rFonts w:asciiTheme="minorHAnsi" w:hAnsiTheme="minorHAnsi" w:cstheme="minorHAnsi"/>
                <w:color w:val="000000" w:themeColor="text1"/>
                <w:lang w:val="en-GB"/>
              </w:rPr>
              <w:t>W</w:t>
            </w:r>
            <w:r w:rsidRPr="00605109">
              <w:rPr>
                <w:rFonts w:asciiTheme="minorHAnsi" w:hAnsiTheme="minorHAnsi" w:cstheme="minorHAnsi"/>
                <w:color w:val="000000" w:themeColor="text1"/>
                <w:lang w:val="en-GB"/>
              </w:rPr>
              <w:t>hatsApp grupi, kako bi testirali da li ljudi zaista imaju značajnu količinu hrane za deljenje. Nakon prikupljanja pozitivnih povratnih informacija, pronašli su razvojnu agenciju koja je uložila u njihovu novu poslovnu ideju i lansirala minimalnu održivu verziju proizvoda aplikacije. Nakon toga, aplikacija je zvanično pokrenuta u App Store-u, a zatim i na Google Plai-u.</w:t>
            </w:r>
          </w:p>
          <w:p w14:paraId="580F2B66"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p>
          <w:p w14:paraId="5900DC91"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r w:rsidRPr="00605109">
              <w:rPr>
                <w:rFonts w:asciiTheme="minorHAnsi" w:hAnsiTheme="minorHAnsi" w:cstheme="minorHAnsi"/>
                <w:color w:val="000000" w:themeColor="text1"/>
                <w:lang w:val="en-GB"/>
              </w:rPr>
              <w:t>Prva verzija aplikacije bila je izuzetno osnovna i mogla je da se koristi samo u 5 poštanskih brojeva u severnom Londonu. Danas OLIO zajednica (OLIOers) okuplja ljude iz 62 zemlje, brojeći 6.104.732 korisnika i 65.312.492 podeljene porcije hrane.</w:t>
            </w:r>
          </w:p>
          <w:p w14:paraId="111A91D4" w14:textId="77777777" w:rsidR="00605109" w:rsidRPr="00605109" w:rsidRDefault="00605109" w:rsidP="00605109">
            <w:pPr>
              <w:widowControl/>
              <w:autoSpaceDE/>
              <w:autoSpaceDN/>
              <w:jc w:val="both"/>
              <w:rPr>
                <w:rFonts w:asciiTheme="minorHAnsi" w:hAnsiTheme="minorHAnsi" w:cstheme="minorHAnsi"/>
                <w:color w:val="000000" w:themeColor="text1"/>
                <w:lang w:val="en-GB"/>
              </w:rPr>
            </w:pPr>
          </w:p>
          <w:p w14:paraId="10D67FE3" w14:textId="37E42900" w:rsidR="000C1F1B" w:rsidRPr="00AC18AA" w:rsidRDefault="00605109" w:rsidP="00605109">
            <w:pPr>
              <w:jc w:val="both"/>
              <w:rPr>
                <w:rFonts w:asciiTheme="minorHAnsi" w:hAnsiTheme="minorHAnsi" w:cstheme="minorHAnsi"/>
                <w:color w:val="000000" w:themeColor="text1"/>
                <w:lang w:val="en-US"/>
              </w:rPr>
            </w:pPr>
            <w:r w:rsidRPr="00605109">
              <w:rPr>
                <w:rFonts w:asciiTheme="minorHAnsi" w:hAnsiTheme="minorHAnsi" w:cstheme="minorHAnsi"/>
                <w:color w:val="000000" w:themeColor="text1"/>
                <w:lang w:val="en-GB"/>
              </w:rPr>
              <w:t xml:space="preserve">Pozitivan uticaj na životnu sredinu ove platforme za deljenje je takođe vredan pažnje, sa ušteđenim 191.782.035 automobilskih milja i 8.653.000.000 litara vode. U skladu sa vrednostima ekonomije deljenja, OLIO je kompanija sa negativnim emisijama ugljenika koja je posvećena merenju emisija organizacije, koje se javno izveštavaju svake godine. OLIO postavlja interne ciljeve emisije ugljenika, imenujući člana tima koji će biti odgovoran </w:t>
            </w:r>
            <w:r>
              <w:rPr>
                <w:rFonts w:asciiTheme="minorHAnsi" w:hAnsiTheme="minorHAnsi" w:cstheme="minorHAnsi"/>
                <w:color w:val="000000" w:themeColor="text1"/>
                <w:lang w:val="en-GB"/>
              </w:rPr>
              <w:t>kasnije</w:t>
            </w:r>
            <w:r w:rsidRPr="00605109">
              <w:rPr>
                <w:rFonts w:asciiTheme="minorHAnsi" w:hAnsiTheme="minorHAnsi" w:cstheme="minorHAnsi"/>
                <w:color w:val="000000" w:themeColor="text1"/>
                <w:lang w:val="en-GB"/>
              </w:rPr>
              <w:t>.</w:t>
            </w:r>
          </w:p>
        </w:tc>
      </w:tr>
      <w:tr w:rsidR="00F30B77" w:rsidRPr="00F30B77" w14:paraId="7A6D0831" w14:textId="77777777" w:rsidTr="00A4764C">
        <w:trPr>
          <w:trHeight w:val="1078"/>
        </w:trPr>
        <w:tc>
          <w:tcPr>
            <w:tcW w:w="2687" w:type="dxa"/>
            <w:shd w:val="clear" w:color="auto" w:fill="AB7ADC"/>
            <w:vAlign w:val="center"/>
          </w:tcPr>
          <w:p w14:paraId="3E946BD4" w14:textId="74A7BE8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w:t>
            </w:r>
            <w:r w:rsidR="00605109">
              <w:rPr>
                <w:rFonts w:asciiTheme="minorHAnsi" w:hAnsiTheme="minorHAnsi" w:cstheme="minorHAnsi"/>
                <w:b/>
                <w:color w:val="FFFFFF"/>
                <w:sz w:val="24"/>
                <w:szCs w:val="24"/>
                <w:lang w:val="en-GB"/>
              </w:rPr>
              <w:t>tni link</w:t>
            </w:r>
          </w:p>
        </w:tc>
        <w:tc>
          <w:tcPr>
            <w:tcW w:w="6567" w:type="dxa"/>
            <w:vAlign w:val="center"/>
          </w:tcPr>
          <w:p w14:paraId="0C9E0529" w14:textId="569587E6" w:rsidR="00300958" w:rsidRPr="00C81D81" w:rsidRDefault="00106536" w:rsidP="00C81D81">
            <w:pPr>
              <w:textAlignment w:val="baseline"/>
              <w:rPr>
                <w:rFonts w:asciiTheme="minorHAnsi" w:hAnsiTheme="minorHAnsi" w:cstheme="minorHAnsi"/>
                <w:color w:val="243255"/>
                <w:lang w:val="en-GB" w:eastAsia="en-GB"/>
              </w:rPr>
            </w:pPr>
            <w:r w:rsidRPr="00C81D81">
              <w:rPr>
                <w:rFonts w:asciiTheme="minorHAnsi" w:hAnsiTheme="minorHAnsi" w:cstheme="minorHAnsi"/>
                <w:color w:val="243255"/>
                <w:lang w:val="en-GB" w:eastAsia="en-GB"/>
              </w:rPr>
              <w:t xml:space="preserve"> </w:t>
            </w:r>
            <w:hyperlink r:id="rId8" w:history="1">
              <w:r w:rsidR="00587455" w:rsidRPr="00C81D81">
                <w:rPr>
                  <w:rStyle w:val="Hyperlink"/>
                  <w:rFonts w:asciiTheme="minorHAnsi" w:hAnsiTheme="minorHAnsi" w:cstheme="minorHAnsi"/>
                  <w:lang w:val="en-GB" w:eastAsia="en-GB"/>
                </w:rPr>
                <w:t>https://olioex.com/about/our-story/</w:t>
              </w:r>
            </w:hyperlink>
            <w:r w:rsidR="00587455" w:rsidRPr="00C81D81">
              <w:rPr>
                <w:rFonts w:asciiTheme="minorHAnsi" w:hAnsiTheme="minorHAnsi" w:cstheme="minorHAnsi"/>
                <w:color w:val="243255"/>
                <w:lang w:val="en-GB" w:eastAsia="en-GB"/>
              </w:rPr>
              <w:t xml:space="preserve"> </w:t>
            </w:r>
          </w:p>
          <w:p w14:paraId="233319AF" w14:textId="7D462D0D" w:rsidR="00300958" w:rsidRPr="00F30B77" w:rsidRDefault="00000000" w:rsidP="00587455">
            <w:pPr>
              <w:textAlignment w:val="baseline"/>
              <w:rPr>
                <w:rFonts w:asciiTheme="minorHAnsi" w:hAnsiTheme="minorHAnsi" w:cstheme="minorHAnsi"/>
                <w:color w:val="243255"/>
                <w:sz w:val="24"/>
                <w:szCs w:val="24"/>
                <w:lang w:val="en-GB" w:eastAsia="en-GB"/>
              </w:rPr>
            </w:pPr>
            <w:hyperlink r:id="rId9" w:history="1">
              <w:r w:rsidR="00300958" w:rsidRPr="00C81D81">
                <w:rPr>
                  <w:rStyle w:val="Hyperlink"/>
                  <w:rFonts w:asciiTheme="minorHAnsi" w:hAnsiTheme="minorHAnsi" w:cstheme="minorHAnsi"/>
                  <w:lang w:val="en-GB" w:eastAsia="en-GB"/>
                </w:rPr>
                <w:t>https://www.youtube.com/channel/UCAd5u3O2ZoerSWmJ5Re5w1g</w:t>
              </w:r>
            </w:hyperlink>
            <w:r w:rsidR="00300958" w:rsidRPr="00C81D81">
              <w:rPr>
                <w:rFonts w:asciiTheme="minorHAnsi" w:hAnsiTheme="minorHAnsi" w:cstheme="minorHAnsi"/>
                <w:color w:val="243255"/>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6A355376" w:rsidR="00F30B77" w:rsidRPr="00F30B77" w:rsidRDefault="00605109"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vAlign w:val="center"/>
          </w:tcPr>
          <w:p w14:paraId="3F111E7B" w14:textId="4978A9EF" w:rsidR="00F30B77" w:rsidRPr="00D65D0A" w:rsidRDefault="00605109" w:rsidP="00D65D0A">
            <w:pPr>
              <w:textAlignment w:val="baseline"/>
              <w:rPr>
                <w:rFonts w:asciiTheme="minorHAnsi" w:hAnsiTheme="minorHAnsi" w:cstheme="minorHAnsi"/>
                <w:sz w:val="24"/>
                <w:szCs w:val="24"/>
                <w:lang w:val="en-GB"/>
              </w:rPr>
            </w:pPr>
            <w:r>
              <w:rPr>
                <w:rFonts w:asciiTheme="minorHAnsi" w:hAnsiTheme="minorHAnsi" w:cstheme="minorHAnsi"/>
                <w:lang w:val="en-GB"/>
              </w:rPr>
              <w:t>Najbolja praksa</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04B5" w14:textId="77777777" w:rsidR="008513EF" w:rsidRDefault="008513EF" w:rsidP="00AC1BFA">
      <w:r>
        <w:separator/>
      </w:r>
    </w:p>
  </w:endnote>
  <w:endnote w:type="continuationSeparator" w:id="0">
    <w:p w14:paraId="54309FDC" w14:textId="77777777" w:rsidR="008513EF" w:rsidRDefault="008513EF"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9505" w14:textId="77777777" w:rsidR="008513EF" w:rsidRDefault="008513EF" w:rsidP="00AC1BFA">
      <w:r>
        <w:separator/>
      </w:r>
    </w:p>
  </w:footnote>
  <w:footnote w:type="continuationSeparator" w:id="0">
    <w:p w14:paraId="0FE602ED" w14:textId="77777777" w:rsidR="008513EF" w:rsidRDefault="008513EF"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5A8B23"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586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C1F1B"/>
    <w:rsid w:val="00106536"/>
    <w:rsid w:val="001C1A4A"/>
    <w:rsid w:val="00223606"/>
    <w:rsid w:val="002510F0"/>
    <w:rsid w:val="002E2361"/>
    <w:rsid w:val="002F1CBA"/>
    <w:rsid w:val="00300958"/>
    <w:rsid w:val="00420184"/>
    <w:rsid w:val="00460B76"/>
    <w:rsid w:val="00463A4B"/>
    <w:rsid w:val="00532256"/>
    <w:rsid w:val="005644EE"/>
    <w:rsid w:val="00571669"/>
    <w:rsid w:val="00587455"/>
    <w:rsid w:val="005B2BC0"/>
    <w:rsid w:val="00601A72"/>
    <w:rsid w:val="00605109"/>
    <w:rsid w:val="006A0719"/>
    <w:rsid w:val="00784D2A"/>
    <w:rsid w:val="008513EF"/>
    <w:rsid w:val="0086779A"/>
    <w:rsid w:val="009E0484"/>
    <w:rsid w:val="00A4764C"/>
    <w:rsid w:val="00A64F5A"/>
    <w:rsid w:val="00AC18AA"/>
    <w:rsid w:val="00AC1BFA"/>
    <w:rsid w:val="00AF4D65"/>
    <w:rsid w:val="00B15038"/>
    <w:rsid w:val="00C75F17"/>
    <w:rsid w:val="00C81D81"/>
    <w:rsid w:val="00CA07F4"/>
    <w:rsid w:val="00CF3B09"/>
    <w:rsid w:val="00D65D0A"/>
    <w:rsid w:val="00D7196E"/>
    <w:rsid w:val="00DD4D4E"/>
    <w:rsid w:val="00E60C4D"/>
    <w:rsid w:val="00E73F42"/>
    <w:rsid w:val="00EC5C7A"/>
    <w:rsid w:val="00F30B77"/>
    <w:rsid w:val="00F61C62"/>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536"/>
    <w:rPr>
      <w:color w:val="0000FF" w:themeColor="hyperlink"/>
      <w:u w:val="single"/>
    </w:rPr>
  </w:style>
  <w:style w:type="character" w:styleId="FollowedHyperlink">
    <w:name w:val="FollowedHyperlink"/>
    <w:basedOn w:val="DefaultParagraphFont"/>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609">
      <w:bodyDiv w:val="1"/>
      <w:marLeft w:val="0"/>
      <w:marRight w:val="0"/>
      <w:marTop w:val="0"/>
      <w:marBottom w:val="0"/>
      <w:divBdr>
        <w:top w:val="none" w:sz="0" w:space="0" w:color="auto"/>
        <w:left w:val="none" w:sz="0" w:space="0" w:color="auto"/>
        <w:bottom w:val="none" w:sz="0" w:space="0" w:color="auto"/>
        <w:right w:val="none" w:sz="0" w:space="0" w:color="auto"/>
      </w:divBdr>
      <w:divsChild>
        <w:div w:id="1830629515">
          <w:marLeft w:val="0"/>
          <w:marRight w:val="0"/>
          <w:marTop w:val="0"/>
          <w:marBottom w:val="525"/>
          <w:divBdr>
            <w:top w:val="none" w:sz="0" w:space="0" w:color="auto"/>
            <w:left w:val="none" w:sz="0" w:space="0" w:color="auto"/>
            <w:bottom w:val="none" w:sz="0" w:space="0" w:color="auto"/>
            <w:right w:val="none" w:sz="0" w:space="0" w:color="auto"/>
          </w:divBdr>
          <w:divsChild>
            <w:div w:id="1945651478">
              <w:marLeft w:val="0"/>
              <w:marRight w:val="0"/>
              <w:marTop w:val="0"/>
              <w:marBottom w:val="0"/>
              <w:divBdr>
                <w:top w:val="none" w:sz="0" w:space="0" w:color="auto"/>
                <w:left w:val="none" w:sz="0" w:space="0" w:color="auto"/>
                <w:bottom w:val="none" w:sz="0" w:space="0" w:color="auto"/>
                <w:right w:val="none" w:sz="0" w:space="0" w:color="auto"/>
              </w:divBdr>
            </w:div>
          </w:divsChild>
        </w:div>
        <w:div w:id="2061710360">
          <w:marLeft w:val="0"/>
          <w:marRight w:val="0"/>
          <w:marTop w:val="0"/>
          <w:marBottom w:val="525"/>
          <w:divBdr>
            <w:top w:val="none" w:sz="0" w:space="0" w:color="auto"/>
            <w:left w:val="none" w:sz="0" w:space="0" w:color="auto"/>
            <w:bottom w:val="none" w:sz="0" w:space="0" w:color="auto"/>
            <w:right w:val="none" w:sz="0" w:space="0" w:color="auto"/>
          </w:divBdr>
          <w:divsChild>
            <w:div w:id="1327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62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963849284">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oex.com/about/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d5u3O2ZoerSWmJ5Re5w1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ACB0-5905-4115-8018-34EDAA42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4</cp:revision>
  <dcterms:created xsi:type="dcterms:W3CDTF">2023-02-06T13:41:00Z</dcterms:created>
  <dcterms:modified xsi:type="dcterms:W3CDTF">2023-02-06T13:46:00Z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